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3E2621" w:rsidRPr="00041607" w:rsidP="00A1405B">
      <w:pPr>
        <w:ind w:left="540" w:right="419"/>
        <w:rPr>
          <w:b/>
          <w:color w:val="AF272F"/>
          <w:sz w:val="36"/>
          <w:szCs w:val="44"/>
          <w:lang w:val="en-AU"/>
        </w:rPr>
      </w:pPr>
      <w:r w:rsidRPr="00041607">
        <w:rPr>
          <w:b/>
          <w:color w:val="AF272F"/>
          <w:sz w:val="36"/>
          <w:szCs w:val="44"/>
          <w:lang w:val="en-AU"/>
        </w:rPr>
        <w:t>Annual Implementation Plan</w:t>
      </w:r>
      <w:r w:rsidRPr="00041607">
        <w:rPr>
          <w:b/>
          <w:color w:val="AF272F"/>
          <w:sz w:val="36"/>
          <w:szCs w:val="44"/>
          <w:lang w:val="en-AU"/>
        </w:rPr>
        <w:t xml:space="preserve"> - </w:t>
      </w:r>
      <w:r w:rsidRPr="00041607">
        <w:rPr>
          <w:b/>
          <w:noProof/>
          <w:color w:val="AF272F"/>
          <w:sz w:val="36"/>
          <w:szCs w:val="36"/>
          <w:lang w:val="en-AU"/>
        </w:rPr>
        <w:t>2024</w:t>
      </w:r>
    </w:p>
    <w:p w:rsidR="001174B8" w:rsidRPr="00041607" w:rsidP="00CC45E0">
      <w:pPr>
        <w:pStyle w:val="ESIntroParagraph"/>
        <w:ind w:left="-567" w:right="1607" w:firstLine="1107"/>
        <w:rPr>
          <w:color w:val="595959" w:themeColor="text1" w:themeTint="A6"/>
          <w:lang w:val="en-AU"/>
        </w:rPr>
      </w:pPr>
    </w:p>
    <w:p w:rsidR="00ED54A5" w:rsidRPr="00041607" w:rsidP="00ED54A5">
      <w:pPr>
        <w:ind w:left="540" w:right="419"/>
        <w:rPr>
          <w:b/>
          <w:color w:val="AF272F"/>
          <w:sz w:val="32"/>
          <w:szCs w:val="32"/>
          <w:lang w:val="en-AU"/>
        </w:rPr>
      </w:pPr>
      <w:r w:rsidRPr="00041607">
        <w:rPr>
          <w:b/>
          <w:color w:val="AF272F"/>
          <w:sz w:val="32"/>
          <w:szCs w:val="32"/>
          <w:lang w:val="en-AU"/>
        </w:rPr>
        <w:t xml:space="preserve">Select </w:t>
      </w:r>
      <w:r w:rsidRPr="00041607" w:rsidR="00FB15E2">
        <w:rPr>
          <w:b/>
          <w:color w:val="AF272F"/>
          <w:sz w:val="32"/>
          <w:szCs w:val="32"/>
          <w:lang w:val="en-AU"/>
        </w:rPr>
        <w:t>a</w:t>
      </w:r>
      <w:r w:rsidRPr="00041607">
        <w:rPr>
          <w:b/>
          <w:color w:val="AF272F"/>
          <w:sz w:val="32"/>
          <w:szCs w:val="32"/>
          <w:lang w:val="en-AU"/>
        </w:rPr>
        <w:t xml:space="preserve">nnual </w:t>
      </w:r>
      <w:r w:rsidRPr="00041607" w:rsidR="00FB15E2">
        <w:rPr>
          <w:b/>
          <w:color w:val="AF272F"/>
          <w:sz w:val="32"/>
          <w:szCs w:val="32"/>
          <w:lang w:val="en-AU"/>
        </w:rPr>
        <w:t>g</w:t>
      </w:r>
      <w:r w:rsidRPr="00041607">
        <w:rPr>
          <w:b/>
          <w:color w:val="AF272F"/>
          <w:sz w:val="32"/>
          <w:szCs w:val="32"/>
          <w:lang w:val="en-AU"/>
        </w:rPr>
        <w:t xml:space="preserve">oals and </w:t>
      </w:r>
      <w:r w:rsidRPr="00041607">
        <w:rPr>
          <w:b/>
          <w:color w:val="AF272F"/>
          <w:sz w:val="32"/>
          <w:szCs w:val="32"/>
          <w:lang w:val="en-AU"/>
        </w:rPr>
        <w:t>KIS</w:t>
      </w:r>
    </w:p>
    <w:p w:rsidR="001174B8" w:rsidRPr="00041607" w:rsidP="00CC45E0">
      <w:pPr>
        <w:pStyle w:val="ESIntroParagraph"/>
        <w:ind w:left="-567" w:right="1607" w:firstLine="1107"/>
        <w:rPr>
          <w:color w:val="595959" w:themeColor="text1" w:themeTint="A6"/>
          <w:lang w:val="en-AU"/>
        </w:rPr>
      </w:pPr>
    </w:p>
    <w:p w:rsidR="00312C54" w:rsidRPr="00041607" w:rsidP="00CC45E0">
      <w:pPr>
        <w:pStyle w:val="ESIntroParagraph"/>
        <w:ind w:left="-567" w:right="1607" w:firstLine="1107"/>
        <w:rPr>
          <w:color w:val="595959" w:themeColor="text1" w:themeTint="A6"/>
          <w:lang w:val="en-AU"/>
        </w:rPr>
      </w:pPr>
      <w:r w:rsidRPr="00041607">
        <w:rPr>
          <w:noProof/>
          <w:color w:val="595959" w:themeColor="text1" w:themeTint="A6"/>
          <w:lang w:val="en-AU"/>
        </w:rPr>
        <w:t>Colac Secondary College (8864)</w:t>
      </w:r>
    </w:p>
    <w:p w:rsidR="00312C54" w:rsidRPr="00041607" w:rsidP="00D84C0F">
      <w:pPr>
        <w:pStyle w:val="ESIntroParagraph"/>
        <w:ind w:left="-567" w:right="4330"/>
        <w:rPr>
          <w:lang w:val="en-AU"/>
        </w:rPr>
      </w:pPr>
    </w:p>
    <w:p w:rsidR="00312C54" w:rsidRPr="00041607" w:rsidP="00D84C0F">
      <w:pPr>
        <w:pStyle w:val="Heading1"/>
        <w:ind w:left="-567"/>
        <w:rPr>
          <w:lang w:val="en-AU"/>
        </w:rPr>
      </w:pPr>
    </w:p>
    <w:p w:rsidR="00DA2B24" w:rsidRPr="00041607" w:rsidP="00895870">
      <w:pPr>
        <w:pStyle w:val="ESHeading2"/>
        <w:rPr>
          <w:lang w:val="en-AU"/>
        </w:rPr>
      </w:pPr>
    </w:p>
    <w:p w:rsidR="00C35E70" w:rsidRPr="00041607" w:rsidP="00895870">
      <w:pPr>
        <w:pStyle w:val="ESHeading2"/>
        <w:rPr>
          <w:lang w:val="en-AU"/>
        </w:rPr>
      </w:pPr>
    </w:p>
    <w:p w:rsidR="00DA2B24" w:rsidRPr="00041607" w:rsidP="00895870">
      <w:pPr>
        <w:pStyle w:val="ESHeading2"/>
        <w:rPr>
          <w:lang w:val="en-AU"/>
        </w:rPr>
      </w:pPr>
    </w:p>
    <w:p w:rsidR="00ED2271" w:rsidRPr="00041607" w:rsidP="00895870">
      <w:pPr>
        <w:pStyle w:val="ESHeading2"/>
        <w:rPr>
          <w:lang w:val="en-AU"/>
        </w:rPr>
      </w:pPr>
    </w:p>
    <w:p w:rsidR="00C35E70" w:rsidRPr="00041607" w:rsidP="00683AC0">
      <w:pPr>
        <w:pStyle w:val="ESHeading2"/>
        <w:jc w:val="center"/>
        <w:rPr>
          <w:lang w:val="en-AU"/>
        </w:rPr>
      </w:pPr>
      <w:r w:rsidRPr="00041607">
        <w:rPr>
          <w:b w:val="0"/>
          <w:noProof/>
          <w:sz w:val="44"/>
          <w:szCs w:val="44"/>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3810532" cy="2172003"/>
            <wp:wrapNone/>
            <wp:docPr id="100017" name=""/>
            <wp:cNvGraphicFramePr/>
            <a:graphic xmlns:a="http://schemas.openxmlformats.org/drawingml/2006/main">
              <a:graphicData uri="http://schemas.openxmlformats.org/drawingml/2006/picture">
                <pic:pic xmlns:pic="http://schemas.openxmlformats.org/drawingml/2006/picture">
                  <pic:nvPicPr>
                    <pic:cNvPr id="100017" name=""/>
                    <pic:cNvPicPr/>
                  </pic:nvPicPr>
                  <pic:blipFill>
                    <a:blip xmlns:r="http://schemas.openxmlformats.org/officeDocument/2006/relationships" r:embed="rId9"/>
                    <a:stretch>
                      <a:fillRect/>
                    </a:stretch>
                  </pic:blipFill>
                  <pic:spPr>
                    <a:xfrm>
                      <a:off x="0" y="0"/>
                      <a:ext cx="3810532" cy="2172003"/>
                    </a:xfrm>
                    <a:prstGeom prst="rect">
                      <a:avLst/>
                    </a:prstGeom>
                  </pic:spPr>
                </pic:pic>
              </a:graphicData>
            </a:graphic>
          </wp:anchor>
        </w:drawing>
      </w:r>
      <w:r w:rsidRPr="00041607">
        <w:rPr>
          <w:noProof/>
          <w:lang w:val="en-AU" w:eastAsia="en-AU"/>
        </w:rPr>
        <mc:AlternateContent>
          <mc:Choice Requires="wps">
            <w:drawing>
              <wp:anchor distT="45720" distB="45720" distL="114300" distR="114300" simplePos="0" relativeHeight="251660288" behindDoc="1" locked="1" layoutInCell="1" allowOverlap="1">
                <wp:simplePos x="0" y="0"/>
                <wp:positionH relativeFrom="margin">
                  <wp:posOffset>100330</wp:posOffset>
                </wp:positionH>
                <wp:positionV relativeFrom="bottomMargin">
                  <wp:posOffset>-1260475</wp:posOffset>
                </wp:positionV>
                <wp:extent cx="9774000" cy="1134000"/>
                <wp:effectExtent l="0" t="0" r="0" b="9525"/>
                <wp:wrapNone/>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9774000" cy="1134000"/>
                        </a:xfrm>
                        <a:prstGeom prst="rect">
                          <a:avLst/>
                        </a:prstGeom>
                        <a:solidFill>
                          <a:srgbClr val="FFFFFF"/>
                        </a:solidFill>
                        <a:ln w="9525">
                          <a:noFill/>
                          <a:miter lim="800000"/>
                          <a:headEnd/>
                          <a:tailEnd/>
                        </a:ln>
                      </wps:spPr>
                      <wps:txbx>
                        <w:txbxContent>
                          <w:p w:rsidR="00C35E70" w:rsidP="00C35E70">
                            <w:pPr>
                              <w:pStyle w:val="ESBodyText"/>
                            </w:pPr>
                            <w:r>
                              <w:rPr>
                                <w:noProof/>
                              </w:rPr>
                              <w:t>Submitted for review by Skye Bannan (School Principal) on 28 February, 2024 at 12:48 PM</w:t>
                              <w:br/>
                              <w:t>Endorsed by Brendan Bush (Senior Education Improvement Leader) on 28 February, 2024 at 01:31 PM</w:t>
                              <w:br/>
                              <w:t>Awaiting endorsement by School Council President</w:t>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29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1pt;z-index:-251657216" fillcolor="white" stroked="f" strokeweight="0.75pt">
                <v:stroke joinstyle="miter"/>
                <v:textbox>
                  <w:txbxContent>
                    <w:p w:rsidR="00C35E70" w:rsidP="00C35E70">
                      <w:pPr>
                        <w:pStyle w:val="ESBodyText"/>
                      </w:pPr>
                      <w:r>
                        <w:rPr>
                          <w:noProof/>
                        </w:rPr>
                        <w:t>Submitted for review by Skye Bannan (School Principal) on 28 February, 2024 at 12:48 PM</w:t>
                        <w:br/>
                        <w:t>Endorsed by Brendan Bush (Senior Education Improvement Leader) on 28 February, 2024 at 01:31 PM</w:t>
                        <w:br/>
                        <w:t>Awaiting endorsement by School Council President</w:t>
                        <w:br/>
                      </w:r>
                    </w:p>
                  </w:txbxContent>
                </v:textbox>
                <w10:wrap anchorx="margin"/>
                <w10:anchorlock/>
              </v:shape>
            </w:pict>
          </mc:Fallback>
        </mc:AlternateContent>
      </w:r>
    </w:p>
    <w:p w:rsidR="00C65B59" w:rsidRPr="00041607" w:rsidP="00CB0768">
      <w:pPr>
        <w:pStyle w:val="ESHeading2"/>
        <w:rPr>
          <w:b w:val="0"/>
          <w:lang w:val="en-AU"/>
        </w:rPr>
      </w:pPr>
    </w:p>
    <w:p w:rsidR="00CB0768" w:rsidRPr="00041607" w:rsidP="00B669ED">
      <w:pPr>
        <w:pStyle w:val="ESHeading2"/>
        <w:rPr>
          <w:lang w:val="en-AU"/>
        </w:rPr>
        <w:sectPr w:rsidSect="00CD3E4E">
          <w:headerReference w:type="even" r:id="rId10"/>
          <w:headerReference w:type="default" r:id="rId11"/>
          <w:footerReference w:type="even" r:id="rId12"/>
          <w:footerReference w:type="default" r:id="rId13"/>
          <w:headerReference w:type="first" r:id="rId14"/>
          <w:pgSz w:w="11906" w:h="16838"/>
          <w:pgMar w:top="1005" w:right="737" w:bottom="1304" w:left="562" w:header="624" w:footer="1134" w:gutter="0"/>
          <w:cols w:space="397"/>
          <w:docGrid w:linePitch="360"/>
        </w:sectPr>
      </w:pPr>
    </w:p>
    <w:p w:rsidR="00145C6B" w:rsidRPr="00041607" w:rsidP="00CC45E0">
      <w:pPr>
        <w:pStyle w:val="ESIntroParagraph"/>
        <w:ind w:left="-567" w:right="1168" w:firstLine="27"/>
        <w:rPr>
          <w:b/>
          <w:color w:val="AF272F"/>
          <w:sz w:val="32"/>
          <w:szCs w:val="32"/>
          <w:lang w:val="en-AU"/>
        </w:rPr>
      </w:pPr>
      <w:r w:rsidRPr="00041607">
        <w:rPr>
          <w:b/>
          <w:color w:val="AF272F"/>
          <w:sz w:val="32"/>
          <w:szCs w:val="32"/>
          <w:lang w:val="en-AU"/>
        </w:rPr>
        <w:t xml:space="preserve">Select </w:t>
      </w:r>
      <w:r w:rsidRPr="00041607" w:rsidR="00FB15E2">
        <w:rPr>
          <w:b/>
          <w:color w:val="AF272F"/>
          <w:sz w:val="32"/>
          <w:szCs w:val="32"/>
          <w:lang w:val="en-AU"/>
        </w:rPr>
        <w:t>a</w:t>
      </w:r>
      <w:r w:rsidRPr="00041607">
        <w:rPr>
          <w:b/>
          <w:color w:val="AF272F"/>
          <w:sz w:val="32"/>
          <w:szCs w:val="32"/>
          <w:lang w:val="en-AU"/>
        </w:rPr>
        <w:t xml:space="preserve">nnual </w:t>
      </w:r>
      <w:r w:rsidRPr="00041607" w:rsidR="00FB15E2">
        <w:rPr>
          <w:b/>
          <w:color w:val="AF272F"/>
          <w:sz w:val="32"/>
          <w:szCs w:val="32"/>
          <w:lang w:val="en-AU"/>
        </w:rPr>
        <w:t>g</w:t>
      </w:r>
      <w:r w:rsidRPr="00041607">
        <w:rPr>
          <w:b/>
          <w:color w:val="AF272F"/>
          <w:sz w:val="32"/>
          <w:szCs w:val="32"/>
          <w:lang w:val="en-AU"/>
        </w:rPr>
        <w:t xml:space="preserve">oals and </w:t>
      </w:r>
      <w:r w:rsidRPr="00041607">
        <w:rPr>
          <w:b/>
          <w:color w:val="AF272F"/>
          <w:sz w:val="32"/>
          <w:szCs w:val="32"/>
          <w:lang w:val="en-AU"/>
        </w:rPr>
        <w:t>KIS</w:t>
      </w:r>
    </w:p>
    <w:p w:rsidR="00312C54"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589"/>
        <w:gridCol w:w="1457"/>
        <w:gridCol w:w="6219"/>
        <w:gridCol w:w="3945"/>
      </w:tblGrid>
      <w:tr w:rsidTr="000100BE">
        <w:tblPrEx>
          <w:tblW w:w="15210" w:type="dxa"/>
          <w:tblInd w:w="-545" w:type="dxa"/>
          <w:tblCellMar>
            <w:top w:w="115" w:type="dxa"/>
            <w:left w:w="115" w:type="dxa"/>
            <w:bottom w:w="115" w:type="dxa"/>
            <w:right w:w="115" w:type="dxa"/>
          </w:tblCellMar>
          <w:tblLook w:val="04A0"/>
        </w:tblPrEx>
        <w:trPr>
          <w:trHeight w:val="783"/>
        </w:trPr>
        <w:tc>
          <w:tcPr>
            <w:tcW w:w="3589"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Four</w:t>
            </w:r>
            <w:r w:rsidRPr="00041607" w:rsidR="00FB15E2">
              <w:rPr>
                <w:lang w:val="en-AU"/>
              </w:rPr>
              <w:t>-y</w:t>
            </w:r>
            <w:r w:rsidRPr="00041607">
              <w:rPr>
                <w:lang w:val="en-AU"/>
              </w:rPr>
              <w:t xml:space="preserve">ear </w:t>
            </w:r>
            <w:r w:rsidRPr="00041607" w:rsidR="00FB15E2">
              <w:rPr>
                <w:lang w:val="en-AU"/>
              </w:rPr>
              <w:t>s</w:t>
            </w:r>
            <w:r w:rsidRPr="00041607">
              <w:rPr>
                <w:lang w:val="en-AU"/>
              </w:rPr>
              <w:t xml:space="preserve">trategic </w:t>
            </w:r>
            <w:r w:rsidRPr="00041607" w:rsidR="00FB15E2">
              <w:rPr>
                <w:lang w:val="en-AU"/>
              </w:rPr>
              <w:t>g</w:t>
            </w:r>
            <w:r w:rsidRPr="00041607">
              <w:rPr>
                <w:lang w:val="en-AU"/>
              </w:rPr>
              <w:t>oals</w:t>
            </w:r>
          </w:p>
        </w:tc>
        <w:tc>
          <w:tcPr>
            <w:tcW w:w="1457" w:type="dxa"/>
            <w:shd w:val="clear" w:color="auto" w:fill="D9D9D9" w:themeFill="background1" w:themeFillShade="D9"/>
          </w:tcPr>
          <w:p w:rsidR="00B06A30" w:rsidRPr="00041607" w:rsidP="00B06A30">
            <w:pPr>
              <w:pStyle w:val="Heading3"/>
              <w:spacing w:before="100" w:beforeAutospacing="1" w:after="0"/>
              <w:rPr>
                <w:lang w:val="en-AU"/>
              </w:rPr>
            </w:pPr>
            <w:r w:rsidRPr="00041607">
              <w:rPr>
                <w:lang w:val="en-AU"/>
              </w:rPr>
              <w:t>Is this selected for focus this year?</w:t>
            </w:r>
          </w:p>
          <w:p w:rsidR="00B06A30" w:rsidRPr="00041607" w:rsidP="00DA66C8">
            <w:pPr>
              <w:pStyle w:val="Heading3"/>
              <w:spacing w:before="100" w:beforeAutospacing="1" w:after="0"/>
              <w:rPr>
                <w:lang w:val="en-AU"/>
              </w:rPr>
            </w:pPr>
          </w:p>
        </w:tc>
        <w:tc>
          <w:tcPr>
            <w:tcW w:w="6219" w:type="dxa"/>
            <w:shd w:val="clear" w:color="auto" w:fill="D9D9D9" w:themeFill="background1" w:themeFillShade="D9"/>
          </w:tcPr>
          <w:p w:rsidR="00B06A30" w:rsidRPr="00041607" w:rsidP="00DA66C8">
            <w:pPr>
              <w:spacing w:before="100" w:beforeAutospacing="1" w:after="0"/>
              <w:rPr>
                <w:color w:val="000000" w:themeColor="text1"/>
                <w:sz w:val="20"/>
                <w:lang w:val="en-AU"/>
              </w:rPr>
            </w:pPr>
            <w:r w:rsidRPr="00041607">
              <w:rPr>
                <w:b/>
                <w:lang w:val="en-AU"/>
              </w:rPr>
              <w:t>Four</w:t>
            </w:r>
            <w:r w:rsidRPr="00041607" w:rsidR="00FB15E2">
              <w:rPr>
                <w:b/>
                <w:lang w:val="en-AU"/>
              </w:rPr>
              <w:t>-y</w:t>
            </w:r>
            <w:r w:rsidRPr="00041607">
              <w:rPr>
                <w:b/>
                <w:lang w:val="en-AU"/>
              </w:rPr>
              <w:t xml:space="preserve">ear </w:t>
            </w:r>
            <w:r w:rsidRPr="00041607" w:rsidR="00FB15E2">
              <w:rPr>
                <w:b/>
                <w:lang w:val="en-AU"/>
              </w:rPr>
              <w:t>s</w:t>
            </w:r>
            <w:r w:rsidRPr="00041607">
              <w:rPr>
                <w:b/>
                <w:lang w:val="en-AU"/>
              </w:rPr>
              <w:t xml:space="preserve">trategic </w:t>
            </w:r>
            <w:r w:rsidRPr="00041607" w:rsidR="00FB15E2">
              <w:rPr>
                <w:b/>
                <w:lang w:val="en-AU"/>
              </w:rPr>
              <w:t>t</w:t>
            </w:r>
            <w:r w:rsidRPr="00041607">
              <w:rPr>
                <w:b/>
                <w:lang w:val="en-AU"/>
              </w:rPr>
              <w:t>argets</w:t>
            </w:r>
          </w:p>
        </w:tc>
        <w:tc>
          <w:tcPr>
            <w:tcW w:w="3945" w:type="dxa"/>
            <w:shd w:val="clear" w:color="auto" w:fill="D9D9D9" w:themeFill="background1" w:themeFillShade="D9"/>
          </w:tcPr>
          <w:p w:rsidR="00B06A30" w:rsidRPr="00041607" w:rsidP="00DA66C8">
            <w:pPr>
              <w:pStyle w:val="Heading3"/>
              <w:spacing w:before="100" w:beforeAutospacing="1" w:after="0"/>
              <w:rPr>
                <w:lang w:val="en-AU"/>
              </w:rPr>
            </w:pPr>
            <w:r w:rsidRPr="00041607">
              <w:rPr>
                <w:lang w:val="en-AU"/>
              </w:rPr>
              <w:t>12</w:t>
            </w:r>
            <w:r w:rsidRPr="00041607" w:rsidR="00FB15E2">
              <w:rPr>
                <w:lang w:val="en-AU"/>
              </w:rPr>
              <w:t>-</w:t>
            </w:r>
            <w:r w:rsidRPr="00041607">
              <w:rPr>
                <w:lang w:val="en-AU"/>
              </w:rPr>
              <w:t>month target</w:t>
            </w:r>
          </w:p>
          <w:p w:rsidR="00B06A30" w:rsidRPr="00041607" w:rsidP="00DA66C8">
            <w:pPr>
              <w:pStyle w:val="Heading3"/>
              <w:spacing w:before="100" w:beforeAutospacing="1" w:after="0"/>
              <w:rPr>
                <w:lang w:val="en-AU"/>
              </w:rPr>
            </w:pPr>
            <w:r w:rsidRPr="00041607">
              <w:rPr>
                <w:b w:val="0"/>
                <w:sz w:val="18"/>
                <w:shd w:val="clear" w:color="auto" w:fill="D9D9D9" w:themeFill="background1" w:themeFillShade="D9"/>
                <w:lang w:val="en-AU"/>
              </w:rPr>
              <w:t>The 12</w:t>
            </w:r>
            <w:r w:rsidRPr="00041607" w:rsidR="00FB15E2">
              <w:rPr>
                <w:b w:val="0"/>
                <w:sz w:val="18"/>
                <w:shd w:val="clear" w:color="auto" w:fill="D9D9D9" w:themeFill="background1" w:themeFillShade="D9"/>
                <w:lang w:val="en-AU"/>
              </w:rPr>
              <w:t>-</w:t>
            </w:r>
            <w:r w:rsidRPr="00041607">
              <w:rPr>
                <w:b w:val="0"/>
                <w:sz w:val="18"/>
                <w:shd w:val="clear" w:color="auto" w:fill="D9D9D9" w:themeFill="background1" w:themeFillShade="D9"/>
                <w:lang w:val="en-AU"/>
              </w:rPr>
              <w:t>month target is an incremental step towards meeting the 4-year target, using the same data set.</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tcPr>
          <w:p w:rsidR="00B06A30" w:rsidRPr="00041607" w:rsidP="00BB23C7">
            <w:pPr>
              <w:pStyle w:val="ESBodyText"/>
              <w:spacing w:after="0"/>
              <w:rPr>
                <w:color w:val="auto"/>
                <w:lang w:val="en-AU"/>
              </w:rPr>
            </w:pPr>
            <w:r w:rsidRPr="00041607">
              <w:rPr>
                <w:rStyle w:val="DefaultParagraphFont"/>
                <w:b/>
                <w:bCs/>
                <w:color w:val="auto"/>
              </w:rPr>
              <w:t>Priorities goal</w:t>
            </w:r>
            <w:r w:rsidRPr="00041607">
              <w:rPr>
                <w:rStyle w:val="DefaultParagraphFont"/>
                <w:b/>
                <w:bCs/>
                <w:color w:val="auto"/>
              </w:rPr>
              <w:br/>
            </w:r>
            <w:r w:rsidRPr="00041607">
              <w:rPr>
                <w:rStyle w:val="DefaultParagraphFont"/>
                <w:color w:val="auto"/>
              </w:rPr>
              <w:t>In 2024 we will continue to focus on student learning - with an increased focus on numeracy - and student wellbeing through the priorities goal, a learning key improvement strategy and a wellbeing key improvement strategy.</w:t>
            </w:r>
          </w:p>
        </w:tc>
        <w:tc>
          <w:tcPr>
            <w:tcW w:w="1457" w:type="dxa"/>
          </w:tcPr>
          <w:p w:rsidR="00B06A30" w:rsidRPr="00041607" w:rsidP="00BB23C7">
            <w:pPr>
              <w:pStyle w:val="ESBodyText"/>
              <w:spacing w:after="0"/>
              <w:rPr>
                <w:color w:val="auto"/>
                <w:lang w:val="en-AU"/>
              </w:rPr>
            </w:pPr>
            <w:r w:rsidRPr="00041607">
              <w:rPr>
                <w:rStyle w:val="DefaultParagraphFont"/>
                <w:color w:val="auto"/>
              </w:rPr>
              <w:t>No</w:t>
            </w:r>
          </w:p>
        </w:tc>
        <w:tc>
          <w:tcPr>
            <w:tcW w:w="6219" w:type="dxa"/>
          </w:tcPr>
          <w:p w:rsidR="00B06A30" w:rsidRPr="00041607" w:rsidP="00BB23C7">
            <w:pPr>
              <w:pStyle w:val="ESBodyText"/>
              <w:spacing w:after="0"/>
              <w:rPr>
                <w:color w:val="auto"/>
                <w:lang w:val="en-AU"/>
              </w:rPr>
            </w:pPr>
            <w:r w:rsidRPr="00041607">
              <w:rPr>
                <w:rStyle w:val="DefaultParagraphFont"/>
                <w:color w:val="auto"/>
              </w:rPr>
              <w:t>Support for the priorities</w:t>
            </w:r>
          </w:p>
        </w:tc>
        <w:tc>
          <w:tcPr>
            <w:tcW w:w="3945" w:type="dxa"/>
          </w:tcPr>
          <w:p w:rsidR="00B06A30" w:rsidRPr="00041607" w:rsidP="00BB23C7">
            <w:pPr>
              <w:pStyle w:val="ESBodyText"/>
              <w:spacing w:after="0"/>
              <w:rPr>
                <w:color w:val="auto"/>
                <w:lang w:val="en-AU"/>
              </w:rPr>
            </w:pP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To improve student learning growth and achievement through a focus on literacy and numeracy.</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Yes</w:t>
            </w:r>
          </w:p>
        </w:tc>
        <w:tc>
          <w:tcPr>
            <w:tcW w:w="6219" w:type="dxa"/>
          </w:tcPr>
          <w:p w:rsidR="00B06A30" w:rsidRPr="00041607" w:rsidP="00BB23C7">
            <w:pPr>
              <w:pStyle w:val="ESBodyText"/>
              <w:spacing w:before="120" w:after="120"/>
              <w:rPr>
                <w:rStyle w:val="DefaultParagraphFont"/>
                <w:color w:val="auto"/>
                <w:sz w:val="18"/>
                <w:szCs w:val="18"/>
              </w:rPr>
            </w:pPr>
            <w:r w:rsidRPr="00041607">
              <w:rPr>
                <w:rStyle w:val="DefaultParagraphFont"/>
                <w:rFonts w:ascii="Arial" w:eastAsia="Arial" w:hAnsi="Arial" w:cs="Arial"/>
                <w:b/>
                <w:bCs/>
                <w:color w:val="1F497D"/>
                <w:sz w:val="20"/>
                <w:szCs w:val="20"/>
              </w:rPr>
              <w:t xml:space="preserve">NAPLAN: Top two bands </w:t>
            </w:r>
            <w:r w:rsidRPr="00041607">
              <w:rPr>
                <w:rStyle w:val="DefaultParagraphFont"/>
                <w:rFonts w:ascii="Arial" w:eastAsia="Arial" w:hAnsi="Arial" w:cs="Arial"/>
                <w:color w:val="1F497D"/>
                <w:sz w:val="20"/>
                <w:szCs w:val="20"/>
              </w:rPr>
              <w:t xml:space="preserve">to improve the percentage performance from Year 7–9 </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3188"/>
              <w:gridCol w:w="1352"/>
              <w:gridCol w:w="1429"/>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rPr>
                <w:trHeight w:val="344"/>
              </w:trPr>
              <w:tc>
                <w:tcPr>
                  <w:tcW w:w="3085"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NAPLAN top two bands</w:t>
                  </w:r>
                </w:p>
              </w:tc>
              <w:tc>
                <w:tcPr>
                  <w:tcW w:w="1945"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Year 9 2021</w:t>
                  </w:r>
                </w:p>
              </w:tc>
              <w:tc>
                <w:tcPr>
                  <w:tcW w:w="2071"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Year 9 2025</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Reading</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11%</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15%</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Writing</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1%</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Numeracy</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8%</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12%</w:t>
                  </w:r>
                </w:p>
              </w:tc>
            </w:tr>
            <w:tr>
              <w:tblPrEx>
                <w:tblCellMar>
                  <w:top w:w="15" w:type="dxa"/>
                  <w:left w:w="15" w:type="dxa"/>
                  <w:bottom w:w="15" w:type="dxa"/>
                  <w:right w:w="15" w:type="dxa"/>
                </w:tblCellMar>
              </w:tblPrEx>
              <w:trPr>
                <w:trHeight w:val="344"/>
              </w:trPr>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NAPLAN bottom two bands</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Year 9 2021</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Year 9 2025</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Reading</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37%</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32%</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Writing</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57%</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50%</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Numeracy</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26%</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22%</w:t>
                  </w:r>
                </w:p>
              </w:tc>
            </w:tr>
          </w:tbl>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 xml:space="preserve">Increase the percentage of Year 9 students in strong and exceeding 46% in Naplan Reading. </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before="120" w:after="120"/>
              <w:rPr>
                <w:rStyle w:val="DefaultParagraphFont"/>
                <w:color w:val="auto"/>
                <w:sz w:val="18"/>
                <w:szCs w:val="18"/>
              </w:rPr>
            </w:pPr>
            <w:r w:rsidRPr="00041607">
              <w:rPr>
                <w:rStyle w:val="DefaultParagraphFont"/>
                <w:rFonts w:ascii="Arial" w:eastAsia="Arial" w:hAnsi="Arial" w:cs="Arial"/>
                <w:b/>
                <w:bCs/>
                <w:color w:val="1F497D"/>
                <w:sz w:val="20"/>
                <w:szCs w:val="20"/>
              </w:rPr>
              <w:t>NAPLAN growth data:</w:t>
            </w:r>
            <w:r w:rsidRPr="00041607">
              <w:rPr>
                <w:rStyle w:val="DefaultParagraphFont"/>
                <w:rFonts w:ascii="Arial" w:eastAsia="Arial" w:hAnsi="Arial" w:cs="Arial"/>
                <w:color w:val="1F497D"/>
                <w:sz w:val="20"/>
                <w:szCs w:val="20"/>
              </w:rPr>
              <w:t xml:space="preserve"> Increase the percentage of students making medium and high growth</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3188"/>
              <w:gridCol w:w="1352"/>
              <w:gridCol w:w="1429"/>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3085" w:type="dxa"/>
                  <w:vMerge w:val="restart"/>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NAPLAN benchmark growth</w:t>
                  </w:r>
                </w:p>
              </w:tc>
              <w:tc>
                <w:tcPr>
                  <w:tcW w:w="3790" w:type="dxa"/>
                  <w:gridSpan w:val="2"/>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Medium to High growth: At or above</w:t>
                  </w:r>
                </w:p>
              </w:tc>
            </w:tr>
            <w:tr>
              <w:tblPrEx>
                <w:tblCellMar>
                  <w:top w:w="15" w:type="dxa"/>
                  <w:left w:w="15" w:type="dxa"/>
                  <w:bottom w:w="15" w:type="dxa"/>
                  <w:right w:w="15" w:type="dxa"/>
                </w:tblCellMar>
              </w:tblPrEx>
              <w:tc>
                <w:tcPr>
                  <w:vMerge/>
                  <w:tcBorders>
                    <w:top w:val="single" w:sz="8" w:space="0" w:color="000000"/>
                    <w:left w:val="single" w:sz="8" w:space="0" w:color="000000"/>
                    <w:bottom w:val="single" w:sz="8" w:space="0" w:color="000000"/>
                    <w:right w:val="single" w:sz="8" w:space="0" w:color="000000"/>
                  </w:tcBorders>
                  <w:vAlign w:val="center"/>
                </w:tcPr>
                <w:p w:rsidR="00B06A30" w:rsidRPr="00041607">
                  <w:pPr>
                    <w:rPr>
                      <w:rStyle w:val="DefaultParagraphFont"/>
                      <w:rFonts w:ascii="Arial" w:eastAsia="Arial" w:hAnsi="Arial" w:cs="Arial"/>
                      <w:b/>
                      <w:bCs/>
                      <w:color w:val="1F497D"/>
                      <w:sz w:val="18"/>
                      <w:szCs w:val="18"/>
                    </w:rPr>
                  </w:pP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2021</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2025</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Reading</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65%</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70%</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Writing</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67%</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71%</w:t>
                  </w:r>
                </w:p>
              </w:tc>
            </w:tr>
            <w:tr>
              <w:tblPrEx>
                <w:tblCellMar>
                  <w:top w:w="15" w:type="dxa"/>
                  <w:left w:w="15" w:type="dxa"/>
                  <w:bottom w:w="15" w:type="dxa"/>
                  <w:right w:w="15" w:type="dxa"/>
                </w:tblCellMar>
              </w:tblPrEx>
              <w:tc>
                <w:tcPr>
                  <w:tcW w:w="3085"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Numeracy</w:t>
                  </w:r>
                </w:p>
              </w:tc>
              <w:tc>
                <w:tcPr>
                  <w:tcW w:w="194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66%</w:t>
                  </w:r>
                </w:p>
              </w:tc>
              <w:tc>
                <w:tcPr>
                  <w:tcW w:w="207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75%</w:t>
                  </w:r>
                </w:p>
              </w:tc>
            </w:tr>
          </w:tbl>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NAPLAN growth is unable to be measured due to a change in scale.</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b/>
                <w:bCs/>
                <w:color w:val="1F497D"/>
                <w:sz w:val="20"/>
                <w:szCs w:val="20"/>
              </w:rPr>
              <w:t>PAT Reading &amp; Numeracy 12 month growth Goal: </w:t>
            </w:r>
          </w:p>
          <w:p w:rsidR="00B06A30" w:rsidRPr="00041607" w:rsidP="00BB23C7">
            <w:pPr>
              <w:pStyle w:val="ESBodyText"/>
              <w:numPr>
                <w:ilvl w:val="0"/>
                <w:numId w:val="18"/>
              </w:numPr>
              <w:spacing w:after="0"/>
              <w:ind w:left="720" w:hanging="183"/>
              <w:rPr>
                <w:rStyle w:val="DefaultParagraphFont"/>
                <w:color w:val="auto"/>
                <w:sz w:val="18"/>
                <w:szCs w:val="18"/>
              </w:rPr>
            </w:pPr>
            <w:r w:rsidRPr="00041607">
              <w:rPr>
                <w:rStyle w:val="DefaultParagraphFont"/>
                <w:color w:val="000080"/>
              </w:rPr>
              <w:t>Annual increase of students in each year level demonstrating 12 months growth or more in 12 months between annual (November) PAT Testing in Reading &amp; Numeracy from 2021:</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1235"/>
              <w:gridCol w:w="2611"/>
              <w:gridCol w:w="2123"/>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649"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Numeracy</w:t>
                  </w:r>
                </w:p>
              </w:tc>
              <w:tc>
                <w:tcPr>
                  <w:tcW w:w="2494"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 </w:t>
                  </w:r>
                </w:p>
              </w:tc>
              <w:tc>
                <w:tcPr>
                  <w:tcW w:w="3061"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 </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Cohort</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 of students demonstrating 12 months growth in 12 months 2021</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Target % of students demonstrating 12 months growth in 12 months 2025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7</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36%</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8</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65%</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9</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42%</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10</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62%</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bl>
          <w:p w:rsidR="00B06A30" w:rsidRPr="00041607" w:rsidP="00BB23C7">
            <w:pPr>
              <w:pStyle w:val="ESBodyText"/>
              <w:spacing w:after="0"/>
              <w:rPr>
                <w:rStyle w:val="DefaultParagraphFont"/>
                <w:color w:val="auto"/>
                <w:sz w:val="18"/>
                <w:szCs w:val="18"/>
              </w:rPr>
            </w:pPr>
            <w:r w:rsidRPr="00041607">
              <w:rPr>
                <w:rStyle w:val="DefaultParagraphFont"/>
                <w:color w:val="auto"/>
              </w:rPr>
              <w:t> </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1235"/>
              <w:gridCol w:w="2611"/>
              <w:gridCol w:w="2123"/>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1649"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Reading</w:t>
                  </w:r>
                </w:p>
              </w:tc>
              <w:tc>
                <w:tcPr>
                  <w:tcW w:w="2494"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 </w:t>
                  </w:r>
                </w:p>
              </w:tc>
              <w:tc>
                <w:tcPr>
                  <w:tcW w:w="3061"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 </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Cohort</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 of students demonstrating 12 months growth in 12 months 2021</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Target % of students demonstrating 12 months growth in 12 months 2025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7</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64%</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8</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61%</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9</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61%</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r>
              <w:tblPrEx>
                <w:tblCellMar>
                  <w:top w:w="15" w:type="dxa"/>
                  <w:left w:w="15" w:type="dxa"/>
                  <w:bottom w:w="15" w:type="dxa"/>
                  <w:right w:w="15" w:type="dxa"/>
                </w:tblCellMar>
              </w:tblPrEx>
              <w:tc>
                <w:tcPr>
                  <w:tcW w:w="164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Year 10</w:t>
                  </w:r>
                </w:p>
              </w:tc>
              <w:tc>
                <w:tcPr>
                  <w:tcW w:w="2494"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41%</w:t>
                  </w:r>
                </w:p>
              </w:tc>
              <w:tc>
                <w:tcPr>
                  <w:tcW w:w="3061"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after="0"/>
                    <w:rPr>
                      <w:rStyle w:val="DefaultParagraphFont"/>
                      <w:color w:val="000000"/>
                      <w:sz w:val="18"/>
                      <w:szCs w:val="18"/>
                    </w:rPr>
                  </w:pPr>
                  <w:r w:rsidRPr="00041607">
                    <w:rPr>
                      <w:rStyle w:val="DefaultParagraphFont"/>
                      <w:color w:val="000000"/>
                    </w:rPr>
                    <w:t>75%</w:t>
                  </w:r>
                </w:p>
              </w:tc>
            </w:tr>
          </w:tbl>
          <w:p w:rsidR="00B06A30" w:rsidRPr="00041607" w:rsidP="00BB23C7">
            <w:pPr>
              <w:pStyle w:val="ESBodyText"/>
              <w:spacing w:after="0"/>
              <w:rPr>
                <w:rStyle w:val="DefaultParagraphFont"/>
                <w:color w:val="auto"/>
                <w:sz w:val="18"/>
                <w:szCs w:val="18"/>
              </w:rPr>
            </w:pPr>
            <w:r w:rsidRPr="00041607">
              <w:rPr>
                <w:rStyle w:val="DefaultParagraphFont"/>
                <w:color w:val="auto"/>
              </w:rPr>
              <w:t> </w:t>
            </w:r>
          </w:p>
          <w:p w:rsidR="00B06A30" w:rsidRPr="00041607" w:rsidP="00BB23C7">
            <w:pPr>
              <w:pStyle w:val="ESBodyText"/>
              <w:spacing w:after="0"/>
              <w:rPr>
                <w:rStyle w:val="DefaultParagraphFont"/>
                <w:color w:val="auto"/>
                <w:sz w:val="18"/>
                <w:szCs w:val="18"/>
              </w:rPr>
            </w:pPr>
            <w:r w:rsidRPr="00041607">
              <w:rPr>
                <w:rStyle w:val="DefaultParagraphFont"/>
                <w:color w:val="auto"/>
              </w:rPr>
              <w:t> </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Increase the percentage of students making 2 points growth in 12 months PAT adaptive Reading and Maths.</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b/>
                <w:bCs/>
                <w:color w:val="1F497D"/>
                <w:sz w:val="20"/>
                <w:szCs w:val="20"/>
              </w:rPr>
              <w:t>VCE:</w:t>
            </w:r>
            <w:r w:rsidRPr="00041607">
              <w:rPr>
                <w:rStyle w:val="DefaultParagraphFont"/>
                <w:rFonts w:ascii="Arial" w:eastAsia="Arial" w:hAnsi="Arial" w:cs="Arial"/>
                <w:color w:val="1F497D"/>
                <w:sz w:val="20"/>
                <w:szCs w:val="20"/>
              </w:rPr>
              <w:t xml:space="preserve"> To increase the mean score in English each year from 23.7 in 2020 to 25 in 2025 and Further Mathematics from 25.1 in 2020 to 26.5 in 2025.   </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Increase the mean score in English from 21.77 and Further Mathematics from 26.72</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after="0"/>
              <w:rPr>
                <w:rStyle w:val="DefaultParagraphFont"/>
                <w:color w:val="auto"/>
                <w:sz w:val="18"/>
                <w:szCs w:val="18"/>
              </w:rPr>
            </w:pPr>
            <w:r w:rsidRPr="00041607">
              <w:rPr>
                <w:rStyle w:val="DefaultParagraphFont"/>
                <w:rFonts w:ascii="Arial" w:eastAsia="Arial" w:hAnsi="Arial" w:cs="Arial"/>
                <w:b/>
                <w:bCs/>
                <w:color w:val="1F497D"/>
                <w:sz w:val="20"/>
                <w:szCs w:val="20"/>
              </w:rPr>
              <w:t>Vocational Specialisation Certificate: </w:t>
            </w:r>
            <w:r w:rsidRPr="00041607">
              <w:rPr>
                <w:rStyle w:val="DefaultParagraphFont"/>
                <w:rFonts w:ascii="Arial" w:eastAsia="Arial" w:hAnsi="Arial" w:cs="Arial"/>
                <w:color w:val="1F497D"/>
                <w:sz w:val="20"/>
                <w:szCs w:val="20"/>
              </w:rPr>
              <w:t>Literacy and Numeracy units to show improvement in completion and achievement each year from baseline data determined in 2023. (Victorian Certificate of Applied Learning [VCAL] completion rate 2020 40 per cent)</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Increase Year 12 completion of VCE Vocational Major to 100%</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before="120" w:after="120"/>
              <w:rPr>
                <w:rStyle w:val="DefaultParagraphFont"/>
                <w:color w:val="auto"/>
                <w:sz w:val="18"/>
                <w:szCs w:val="18"/>
              </w:rPr>
            </w:pPr>
            <w:r w:rsidRPr="00041607">
              <w:rPr>
                <w:rStyle w:val="DefaultParagraphFont"/>
                <w:rFonts w:ascii="Arial" w:eastAsia="Arial" w:hAnsi="Arial" w:cs="Arial"/>
                <w:b/>
                <w:bCs/>
                <w:color w:val="1F497D"/>
                <w:sz w:val="20"/>
                <w:szCs w:val="20"/>
              </w:rPr>
              <w:t>SSS increase in positive endorsement:</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4729"/>
              <w:gridCol w:w="620"/>
              <w:gridCol w:w="620"/>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7319"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SSS variables</w:t>
                  </w:r>
                </w:p>
              </w:tc>
              <w:tc>
                <w:tcPr>
                  <w:tcW w:w="1643"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2020</w:t>
                  </w:r>
                </w:p>
              </w:tc>
              <w:tc>
                <w:tcPr>
                  <w:tcW w:w="1585"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2025</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Collective efficacy</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26%</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Academic emphasis</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21%</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Guaranteed and viable curriculum</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22%</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 xml:space="preserve">Use pedagogical model </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4%</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Use data for curriculum planning</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9%</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70%</w:t>
                  </w:r>
                </w:p>
              </w:tc>
            </w:tr>
          </w:tbl>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Increase collective efficacy from 45% to 50% and academic emphasis from 29% to 40%</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val="restart"/>
          </w:tcPr>
          <w:p w:rsidR="00B06A30" w:rsidRPr="00041607" w:rsidP="00BB23C7">
            <w:pPr>
              <w:pStyle w:val="ESBodyText"/>
              <w:spacing w:after="0"/>
              <w:rPr>
                <w:color w:val="auto"/>
                <w:lang w:val="en-AU"/>
              </w:rPr>
            </w:pPr>
            <w:r w:rsidRPr="00041607">
              <w:rPr>
                <w:rStyle w:val="DefaultParagraphFont"/>
                <w:color w:val="auto"/>
              </w:rPr>
              <w:t xml:space="preserve">To create a whole–school positive climate for learning. </w:t>
            </w:r>
          </w:p>
        </w:tc>
        <w:tc>
          <w:tcPr>
            <w:tcW w:w="1457" w:type="dxa"/>
            <w:vMerge w:val="restart"/>
          </w:tcPr>
          <w:p w:rsidR="00B06A30" w:rsidRPr="00041607" w:rsidP="00BB23C7">
            <w:pPr>
              <w:pStyle w:val="ESBodyText"/>
              <w:spacing w:after="0"/>
              <w:rPr>
                <w:color w:val="auto"/>
                <w:lang w:val="en-AU"/>
              </w:rPr>
            </w:pPr>
            <w:r w:rsidRPr="00041607">
              <w:rPr>
                <w:rStyle w:val="DefaultParagraphFont"/>
                <w:color w:val="auto"/>
              </w:rPr>
              <w:t>Yes</w:t>
            </w:r>
          </w:p>
        </w:tc>
        <w:tc>
          <w:tcPr>
            <w:tcW w:w="6219" w:type="dxa"/>
          </w:tcPr>
          <w:p w:rsidR="00B06A30" w:rsidRPr="00041607" w:rsidP="00BB23C7">
            <w:pPr>
              <w:pStyle w:val="ESBodyText"/>
              <w:spacing w:before="120" w:after="120"/>
              <w:rPr>
                <w:rStyle w:val="DefaultParagraphFont"/>
                <w:color w:val="auto"/>
                <w:sz w:val="18"/>
                <w:szCs w:val="18"/>
              </w:rPr>
            </w:pPr>
            <w:r w:rsidRPr="00041607">
              <w:rPr>
                <w:rStyle w:val="DefaultParagraphFont"/>
                <w:rFonts w:ascii="Arial" w:eastAsia="Arial" w:hAnsi="Arial" w:cs="Arial"/>
                <w:b/>
                <w:bCs/>
                <w:color w:val="1F497D"/>
                <w:sz w:val="20"/>
                <w:szCs w:val="20"/>
              </w:rPr>
              <w:t xml:space="preserve">Attendance data: </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rFonts w:ascii="Arial" w:eastAsia="Arial" w:hAnsi="Arial" w:cs="Arial"/>
                <w:color w:val="1F497D"/>
                <w:sz w:val="20"/>
                <w:szCs w:val="20"/>
              </w:rPr>
              <w:t>To reduce percentage of students with 20 or more days absent to 35% in 2025 from 42% in 2019.</w:t>
            </w:r>
          </w:p>
          <w:p w:rsidR="00B06A30" w:rsidRPr="00041607" w:rsidP="00BB23C7">
            <w:pPr>
              <w:pStyle w:val="ESBodyText"/>
              <w:numPr>
                <w:ilvl w:val="0"/>
                <w:numId w:val="19"/>
              </w:numPr>
              <w:spacing w:after="0"/>
              <w:ind w:left="720" w:hanging="183"/>
              <w:rPr>
                <w:rStyle w:val="DefaultParagraphFont"/>
                <w:color w:val="auto"/>
                <w:sz w:val="18"/>
                <w:szCs w:val="18"/>
              </w:rPr>
            </w:pPr>
            <w:r w:rsidRPr="00041607">
              <w:rPr>
                <w:rStyle w:val="DefaultParagraphFont"/>
                <w:rFonts w:ascii="Arial" w:eastAsia="Arial" w:hAnsi="Arial" w:cs="Arial"/>
                <w:color w:val="1F497D"/>
                <w:sz w:val="20"/>
                <w:szCs w:val="20"/>
              </w:rPr>
              <w:t>To reduce the average number of days absent per student to 25 in 2025 from 30 in 2019.   </w:t>
            </w:r>
          </w:p>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To reduce the number of students with 20 or more days absent to 45% in 2024</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p w:rsidR="00B06A30" w:rsidRPr="00041607" w:rsidP="00BB23C7">
            <w:pPr>
              <w:pStyle w:val="ESBodyText"/>
              <w:spacing w:before="120" w:after="120"/>
              <w:rPr>
                <w:rStyle w:val="DefaultParagraphFont"/>
                <w:color w:val="auto"/>
                <w:sz w:val="18"/>
                <w:szCs w:val="18"/>
              </w:rPr>
            </w:pPr>
            <w:r w:rsidRPr="00041607">
              <w:rPr>
                <w:rStyle w:val="DefaultParagraphFont"/>
                <w:rFonts w:ascii="Arial" w:eastAsia="Arial" w:hAnsi="Arial" w:cs="Arial"/>
                <w:b/>
                <w:bCs/>
                <w:color w:val="1F497D"/>
                <w:sz w:val="20"/>
                <w:szCs w:val="20"/>
              </w:rPr>
              <w:t>POS: To improve the percentage of positive agreement:</w:t>
            </w:r>
          </w:p>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4729"/>
              <w:gridCol w:w="620"/>
              <w:gridCol w:w="620"/>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7319"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POS variables</w:t>
                  </w:r>
                </w:p>
              </w:tc>
              <w:tc>
                <w:tcPr>
                  <w:tcW w:w="1643"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2021</w:t>
                  </w:r>
                </w:p>
              </w:tc>
              <w:tc>
                <w:tcPr>
                  <w:tcW w:w="1585"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2025</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General satisfaction</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63%</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80%</w:t>
                  </w:r>
                </w:p>
              </w:tc>
            </w:tr>
            <w:tr>
              <w:tblPrEx>
                <w:tblCellMar>
                  <w:top w:w="15" w:type="dxa"/>
                  <w:left w:w="15" w:type="dxa"/>
                  <w:bottom w:w="15" w:type="dxa"/>
                  <w:right w:w="15" w:type="dxa"/>
                </w:tblCellMar>
              </w:tblPrEx>
              <w:trPr>
                <w:trHeight w:val="265"/>
              </w:trPr>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Parent participation and involvement</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18%</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50%</w:t>
                  </w:r>
                </w:p>
              </w:tc>
            </w:tr>
            <w:tr>
              <w:tblPrEx>
                <w:tblCellMar>
                  <w:top w:w="15" w:type="dxa"/>
                  <w:left w:w="15" w:type="dxa"/>
                  <w:bottom w:w="15" w:type="dxa"/>
                  <w:right w:w="15" w:type="dxa"/>
                </w:tblCellMar>
              </w:tblPrEx>
              <w:trPr>
                <w:trHeight w:val="622"/>
              </w:trPr>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School connectedness</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74%</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85%</w:t>
                  </w:r>
                </w:p>
              </w:tc>
            </w:tr>
          </w:tbl>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To improve parent participation and involvement from 66% to 70%</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4729"/>
              <w:gridCol w:w="620"/>
              <w:gridCol w:w="620"/>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7319"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20"/>
                      <w:szCs w:val="20"/>
                    </w:rPr>
                    <w:t>2.3: Student AToSS: To improve the percentage of positive agreement:</w:t>
                  </w:r>
                </w:p>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AToSS variables</w:t>
                  </w:r>
                </w:p>
              </w:tc>
              <w:tc>
                <w:tcPr>
                  <w:tcW w:w="1643"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2021</w:t>
                  </w:r>
                </w:p>
              </w:tc>
              <w:tc>
                <w:tcPr>
                  <w:tcW w:w="1585"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2025</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Effective teaching time</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62%</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Sense of connectedness</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51%</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Teacher concern</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39%</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Effective classroom behaviour</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53%</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60%</w:t>
                  </w:r>
                </w:p>
              </w:tc>
            </w:tr>
          </w:tbl>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To improve percentage of positive agreement in sense of connectedness and teacher concern</w:t>
            </w:r>
          </w:p>
        </w:tc>
      </w:tr>
      <w:tr w:rsidTr="000F3492">
        <w:tblPrEx>
          <w:tblW w:w="15210" w:type="dxa"/>
          <w:tblInd w:w="-545" w:type="dxa"/>
          <w:tblCellMar>
            <w:top w:w="115" w:type="dxa"/>
            <w:left w:w="115" w:type="dxa"/>
            <w:bottom w:w="115" w:type="dxa"/>
            <w:right w:w="115" w:type="dxa"/>
          </w:tblCellMar>
          <w:tblLook w:val="04A0"/>
        </w:tblPrEx>
        <w:trPr>
          <w:trHeight w:val="83"/>
        </w:trPr>
        <w:tc>
          <w:tcPr>
            <w:tcW w:w="3589" w:type="dxa"/>
            <w:vMerge/>
          </w:tcPr>
          <w:p w:rsidR="00B06A30" w:rsidRPr="00041607" w:rsidP="00BB23C7">
            <w:pPr>
              <w:pStyle w:val="ESBodyText"/>
              <w:spacing w:after="0"/>
              <w:rPr>
                <w:lang w:val="en-AU"/>
              </w:rPr>
            </w:pPr>
          </w:p>
        </w:tc>
        <w:tc>
          <w:tcPr>
            <w:tcW w:w="1457" w:type="dxa"/>
            <w:vMerge/>
          </w:tcPr>
          <w:p w:rsidR="00B06A30" w:rsidRPr="00041607" w:rsidP="00BB23C7">
            <w:pPr>
              <w:pStyle w:val="ESBodyText"/>
              <w:spacing w:after="0"/>
              <w:rPr>
                <w:lang w:val="en-AU"/>
              </w:rPr>
            </w:pPr>
          </w:p>
        </w:tc>
        <w:tc>
          <w:tcPr>
            <w:tcW w:w="6219" w:type="dxa"/>
          </w:tcPr>
          <w:tbl>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
            <w:tblGrid>
              <w:gridCol w:w="4729"/>
              <w:gridCol w:w="620"/>
              <w:gridCol w:w="620"/>
            </w:tblGrid>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PrEx>
              <w:tc>
                <w:tcPr>
                  <w:tcW w:w="7319" w:type="dxa"/>
                  <w:tcBorders>
                    <w:top w:val="single" w:sz="8" w:space="0" w:color="000000"/>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2.4 SSS: To improve the percentage of positive agreement</w:t>
                  </w:r>
                </w:p>
              </w:tc>
              <w:tc>
                <w:tcPr>
                  <w:tcW w:w="1643"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 </w:t>
                  </w:r>
                </w:p>
              </w:tc>
              <w:tc>
                <w:tcPr>
                  <w:tcW w:w="1585" w:type="dxa"/>
                  <w:tcBorders>
                    <w:top w:val="single" w:sz="8" w:space="0" w:color="000000"/>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 </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b/>
                      <w:bCs/>
                      <w:color w:val="1F497D"/>
                      <w:sz w:val="18"/>
                      <w:szCs w:val="18"/>
                    </w:rPr>
                    <w:t>SSS variables</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2020</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b/>
                      <w:bCs/>
                      <w:color w:val="1F497D"/>
                      <w:sz w:val="18"/>
                      <w:szCs w:val="18"/>
                    </w:rPr>
                    <w:t>2025</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Staff trust in colleagues</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36%</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Believe student engagement is the key to learning</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43%</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70%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 xml:space="preserve">Collective responsibility for student learning </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36%</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60%</w:t>
                  </w:r>
                </w:p>
              </w:tc>
            </w:tr>
            <w:tr>
              <w:tblPrEx>
                <w:tblCellMar>
                  <w:top w:w="15" w:type="dxa"/>
                  <w:left w:w="15" w:type="dxa"/>
                  <w:bottom w:w="15" w:type="dxa"/>
                  <w:right w:w="15" w:type="dxa"/>
                </w:tblCellMar>
              </w:tblPrEx>
              <w:tc>
                <w:tcPr>
                  <w:tcW w:w="7319" w:type="dxa"/>
                  <w:tcBorders>
                    <w:left w:val="single" w:sz="8" w:space="0" w:color="000000"/>
                    <w:bottom w:val="single" w:sz="8" w:space="0" w:color="000000"/>
                    <w:right w:val="single" w:sz="8" w:space="0" w:color="000000"/>
                  </w:tcBorders>
                  <w:noWrap w:val="0"/>
                  <w:tcMar>
                    <w:top w:w="0" w:type="dxa"/>
                    <w:left w:w="118" w:type="dxa"/>
                    <w:bottom w:w="0" w:type="dxa"/>
                    <w:right w:w="118" w:type="dxa"/>
                  </w:tcMar>
                  <w:vAlign w:val="center"/>
                </w:tcPr>
                <w:p w:rsidR="00B06A30" w:rsidRPr="00041607" w:rsidP="00BB23C7">
                  <w:pPr>
                    <w:pStyle w:val="ESBodyText"/>
                    <w:spacing w:before="120" w:after="120"/>
                    <w:rPr>
                      <w:rStyle w:val="DefaultParagraphFont"/>
                      <w:color w:val="000000"/>
                      <w:sz w:val="18"/>
                      <w:szCs w:val="18"/>
                    </w:rPr>
                  </w:pPr>
                  <w:r w:rsidRPr="00041607">
                    <w:rPr>
                      <w:rStyle w:val="DefaultParagraphFont"/>
                      <w:rFonts w:ascii="Arial" w:eastAsia="Arial" w:hAnsi="Arial" w:cs="Arial"/>
                      <w:color w:val="1F497D"/>
                      <w:sz w:val="18"/>
                      <w:szCs w:val="18"/>
                    </w:rPr>
                    <w:t>Support learning and growth of whole student</w:t>
                  </w:r>
                </w:p>
              </w:tc>
              <w:tc>
                <w:tcPr>
                  <w:tcW w:w="1643"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9%</w:t>
                  </w:r>
                </w:p>
              </w:tc>
              <w:tc>
                <w:tcPr>
                  <w:tcW w:w="1585" w:type="dxa"/>
                  <w:tcBorders>
                    <w:bottom w:val="single" w:sz="8" w:space="0" w:color="000000"/>
                    <w:right w:val="single" w:sz="8" w:space="0" w:color="000000"/>
                  </w:tcBorders>
                  <w:noWrap w:val="0"/>
                  <w:tcMar>
                    <w:top w:w="0" w:type="dxa"/>
                    <w:left w:w="108" w:type="dxa"/>
                    <w:bottom w:w="0" w:type="dxa"/>
                    <w:right w:w="118" w:type="dxa"/>
                  </w:tcMar>
                  <w:vAlign w:val="center"/>
                </w:tcPr>
                <w:p w:rsidR="00B06A30" w:rsidRPr="00041607" w:rsidP="00BB23C7">
                  <w:pPr>
                    <w:pStyle w:val="ESBodyText"/>
                    <w:spacing w:before="120" w:after="120"/>
                    <w:jc w:val="center"/>
                    <w:rPr>
                      <w:rStyle w:val="DefaultParagraphFont"/>
                      <w:color w:val="000000"/>
                      <w:sz w:val="18"/>
                      <w:szCs w:val="18"/>
                    </w:rPr>
                  </w:pPr>
                  <w:r w:rsidRPr="00041607">
                    <w:rPr>
                      <w:rStyle w:val="DefaultParagraphFont"/>
                      <w:rFonts w:ascii="Arial" w:eastAsia="Arial" w:hAnsi="Arial" w:cs="Arial"/>
                      <w:color w:val="1F497D"/>
                      <w:sz w:val="18"/>
                      <w:szCs w:val="18"/>
                    </w:rPr>
                    <w:t>50%</w:t>
                  </w:r>
                </w:p>
              </w:tc>
            </w:tr>
          </w:tbl>
          <w:p w:rsidR="00B06A30" w:rsidRPr="00041607" w:rsidP="00BB23C7">
            <w:pPr>
              <w:pStyle w:val="ESBodyText"/>
              <w:spacing w:after="0"/>
              <w:rPr>
                <w:color w:val="auto"/>
                <w:lang w:val="en-AU"/>
              </w:rPr>
            </w:pPr>
          </w:p>
        </w:tc>
        <w:tc>
          <w:tcPr>
            <w:tcW w:w="3945" w:type="dxa"/>
          </w:tcPr>
          <w:p w:rsidR="00B06A30" w:rsidRPr="00041607" w:rsidP="00BB23C7">
            <w:pPr>
              <w:pStyle w:val="ESBodyText"/>
              <w:spacing w:after="0"/>
              <w:rPr>
                <w:color w:val="auto"/>
                <w:lang w:val="en-AU"/>
              </w:rPr>
            </w:pPr>
            <w:r w:rsidRPr="00041607">
              <w:rPr>
                <w:rStyle w:val="DefaultParagraphFont"/>
                <w:color w:val="auto"/>
              </w:rPr>
              <w:t>To improve the percentage of positive agreement by 5% across all 4 variables</w:t>
            </w:r>
          </w:p>
        </w:tc>
      </w:tr>
    </w:tbl>
    <w:p w:rsidR="003E4341" w:rsidRPr="00041607" w:rsidP="00BB23C7">
      <w:pPr>
        <w:pStyle w:val="ESBodyText"/>
        <w:spacing w:after="0"/>
        <w:rPr>
          <w:lang w:val="en-AU"/>
        </w:rPr>
      </w:pPr>
    </w:p>
    <w:p w:rsidR="00973DEE" w:rsidRPr="00041607" w:rsidP="004B6AD4">
      <w:pPr>
        <w:pStyle w:val="ESBodyText"/>
        <w:rPr>
          <w:lang w:val="en-AU"/>
        </w:rPr>
      </w:pPr>
    </w:p>
    <w:tbl>
      <w:tblPr>
        <w:tblStyle w:val="TableGrid"/>
        <w:tblW w:w="15210" w:type="dxa"/>
        <w:tblInd w:w="-545" w:type="dxa"/>
        <w:tblCellMar>
          <w:top w:w="115" w:type="dxa"/>
          <w:left w:w="115" w:type="dxa"/>
          <w:bottom w:w="115" w:type="dxa"/>
          <w:right w:w="115" w:type="dxa"/>
        </w:tblCellMar>
        <w:tblLook w:val="04A0"/>
      </w:tblPr>
      <w:tblGrid>
        <w:gridCol w:w="3772"/>
        <w:gridCol w:w="8250"/>
        <w:gridCol w:w="3188"/>
      </w:tblGrid>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b/>
                <w:sz w:val="24"/>
                <w:lang w:val="en-AU"/>
              </w:rPr>
              <w:t>Goal 2</w:t>
            </w:r>
          </w:p>
        </w:tc>
        <w:tc>
          <w:tcPr>
            <w:tcW w:w="11438" w:type="dxa"/>
            <w:gridSpan w:val="2"/>
            <w:shd w:val="clear" w:color="auto" w:fill="D9D9D9" w:themeFill="background1" w:themeFillShade="D9"/>
          </w:tcPr>
          <w:p w:rsidR="00973DEE" w:rsidRPr="00041607" w:rsidP="00BB23C7">
            <w:pPr>
              <w:pStyle w:val="ESBodyText"/>
              <w:spacing w:after="0"/>
              <w:rPr>
                <w:b/>
                <w:color w:val="auto"/>
                <w:lang w:val="en-AU"/>
              </w:rPr>
            </w:pPr>
            <w:r w:rsidRPr="00041607">
              <w:rPr>
                <w:rStyle w:val="DefaultParagraphFont"/>
                <w:b/>
                <w:color w:val="auto"/>
              </w:rPr>
              <w:t>To improve student learning growth and achievement through a focus on literacy and numeracy.</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2.1</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 xml:space="preserve">Increase the percentage of Year 9 students in strong and exceeding 46% in Naplan Reading.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2.2</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NAPLAN growth is unable to be measured due to a change in scale.</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2.3</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Increase the percentage of students making 2 points growth in 12 months PAT adaptive Reading and Maths.</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2.4</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Increase the mean score in English from 21.77 and Further Mathematics from 26.72</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2.5</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Increase Year 12 completion of VCE Vocational Major to 100%</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2.6</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Increase collective efficacy from 45% to 50% and academic emphasis from 29% to 40%</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b/>
                <w:sz w:val="20"/>
                <w:szCs w:val="20"/>
                <w:lang w:val="en-AU"/>
              </w:rPr>
              <w:t>KIS 2.a</w:t>
            </w:r>
          </w:p>
          <w:p>
            <w:r>
              <w:rPr>
                <w:sz w:val="20"/>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sz w:val="20"/>
              </w:rPr>
              <w:t>Develop, implement, and monitor an agreed college pedagogical model</w:t>
            </w:r>
          </w:p>
        </w:tc>
        <w:tc>
          <w:tcPr>
            <w:tcW w:w="3188" w:type="dxa"/>
            <w:noWrap w:val="0"/>
          </w:tcPr>
          <w:p w:rsidR="00DB56D4" w:rsidRPr="00041607" w:rsidP="00BB23C7">
            <w:pPr>
              <w:pStyle w:val="ESBodyText"/>
              <w:spacing w:after="0"/>
              <w:rPr>
                <w:b/>
                <w:lang w:val="en-AU"/>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b/>
                <w:sz w:val="20"/>
                <w:szCs w:val="20"/>
                <w:lang w:val="en-AU"/>
              </w:rPr>
              <w:t>KIS 2.b</w:t>
            </w:r>
          </w:p>
          <w:p>
            <w:r>
              <w:rPr>
                <w:sz w:val="20"/>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sz w:val="20"/>
              </w:rPr>
              <w:t>Document and implement a learning program based on the Victorian Curriculum and senior secondary qualifications.</w:t>
            </w:r>
          </w:p>
        </w:tc>
        <w:tc>
          <w:tcPr>
            <w:tcW w:w="3188" w:type="dxa"/>
            <w:noWrap w:val="0"/>
          </w:tcPr>
          <w:p w:rsidR="00DB56D4" w:rsidRPr="00041607" w:rsidP="00BB23C7">
            <w:pPr>
              <w:pStyle w:val="ESBodyText"/>
              <w:spacing w:after="0"/>
              <w:rPr>
                <w:b/>
                <w:lang w:val="en-AU"/>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8BFBD"/>
            <w:noWrap w:val="0"/>
          </w:tcPr>
          <w:p w:rsidR="00DB56D4" w:rsidRPr="00041607" w:rsidP="00BB23C7">
            <w:pPr>
              <w:pStyle w:val="ESBodyText"/>
              <w:spacing w:after="0"/>
              <w:rPr>
                <w:b/>
                <w:lang w:val="en-AU"/>
              </w:rPr>
            </w:pPr>
            <w:r w:rsidRPr="00041607">
              <w:rPr>
                <w:b/>
                <w:sz w:val="20"/>
                <w:szCs w:val="20"/>
                <w:lang w:val="en-AU"/>
              </w:rPr>
              <w:t>KIS 2.c</w:t>
            </w:r>
          </w:p>
          <w:p>
            <w:r>
              <w:rPr>
                <w:sz w:val="20"/>
              </w:rPr>
              <w:t>Excellence in teaching and learning</w:t>
            </w:r>
          </w:p>
        </w:tc>
        <w:tc>
          <w:tcPr>
            <w:tcW w:w="8250" w:type="dxa"/>
            <w:shd w:val="clear" w:color="auto" w:fill="58BFBD"/>
            <w:noWrap w:val="0"/>
          </w:tcPr>
          <w:p w:rsidR="00DB56D4" w:rsidRPr="00041607" w:rsidP="00BB23C7">
            <w:pPr>
              <w:pStyle w:val="ESBodyText"/>
              <w:spacing w:after="0"/>
              <w:rPr>
                <w:b/>
                <w:lang w:val="en-AU"/>
              </w:rPr>
            </w:pPr>
            <w:r>
              <w:rPr>
                <w:sz w:val="20"/>
              </w:rPr>
              <w:t>Implement the use of evidence to drive student learning improvement</w:t>
            </w:r>
          </w:p>
        </w:tc>
        <w:tc>
          <w:tcPr>
            <w:tcW w:w="3188" w:type="dxa"/>
            <w:noWrap w:val="0"/>
          </w:tcPr>
          <w:p w:rsidR="00DB56D4" w:rsidRPr="00041607" w:rsidP="00BB23C7">
            <w:pPr>
              <w:pStyle w:val="ESBodyText"/>
              <w:spacing w:after="0"/>
              <w:rPr>
                <w:b/>
                <w:lang w:val="en-AU"/>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w:t>
            </w:r>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sz w:val="20"/>
              </w:rPr>
              <w:t xml:space="preserve">In 2023 we have made an excellent start on the development of a college-wide pedagogical model. Therefore, our next step is to focus on high-quality, consistent delivery of our curriculum through the implementation and monitoring of an agreed college-wide approach to pedagogical practice. </w:t>
            </w:r>
          </w:p>
        </w:tc>
      </w:tr>
      <w:tr w:rsidTr="00DA66C8">
        <w:tblPrEx>
          <w:tblW w:w="15210" w:type="dxa"/>
          <w:tblInd w:w="-545" w:type="dxa"/>
          <w:tblCellMar>
            <w:top w:w="115" w:type="dxa"/>
            <w:left w:w="115" w:type="dxa"/>
            <w:bottom w:w="115" w:type="dxa"/>
            <w:right w:w="115" w:type="dxa"/>
          </w:tblCellMar>
          <w:tblLook w:val="04A0"/>
        </w:tblPrEx>
        <w:trPr>
          <w:trHeight w:val="218"/>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b/>
                <w:sz w:val="24"/>
                <w:lang w:val="en-AU"/>
              </w:rPr>
              <w:t>Goal 3</w:t>
            </w:r>
          </w:p>
        </w:tc>
        <w:tc>
          <w:tcPr>
            <w:tcW w:w="11438" w:type="dxa"/>
            <w:gridSpan w:val="2"/>
            <w:shd w:val="clear" w:color="auto" w:fill="D9D9D9" w:themeFill="background1" w:themeFillShade="D9"/>
          </w:tcPr>
          <w:p w:rsidR="00973DEE" w:rsidRPr="00041607" w:rsidP="00BB23C7">
            <w:pPr>
              <w:pStyle w:val="ESBodyText"/>
              <w:spacing w:after="0"/>
              <w:rPr>
                <w:b/>
                <w:color w:val="auto"/>
                <w:lang w:val="en-AU"/>
              </w:rPr>
            </w:pPr>
            <w:r w:rsidRPr="00041607">
              <w:rPr>
                <w:rStyle w:val="DefaultParagraphFont"/>
                <w:b/>
                <w:color w:val="auto"/>
              </w:rPr>
              <w:t xml:space="preserve">To create a whole–school positive climate for learning. </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3.1</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To reduce the number of students with 20 or more days absent to 45% in 2024</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3.2</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To improve parent participation and involvement  from 66% to 70%</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3.3</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To improve percentage of positive agreement in sense of connectedness and teacher concern</w:t>
            </w:r>
          </w:p>
        </w:tc>
      </w:tr>
      <w:tr w:rsidTr="00DA66C8">
        <w:tblPrEx>
          <w:tblW w:w="15210" w:type="dxa"/>
          <w:tblInd w:w="-545" w:type="dxa"/>
          <w:tblCellMar>
            <w:top w:w="115" w:type="dxa"/>
            <w:left w:w="115" w:type="dxa"/>
            <w:bottom w:w="115" w:type="dxa"/>
            <w:right w:w="115" w:type="dxa"/>
          </w:tblCellMar>
          <w:tblLook w:val="04A0"/>
        </w:tblPrEx>
        <w:trPr>
          <w:trHeight w:val="15"/>
        </w:trPr>
        <w:tc>
          <w:tcPr>
            <w:tcW w:w="3772" w:type="dxa"/>
            <w:shd w:val="clear" w:color="auto" w:fill="D9D9D9" w:themeFill="background1" w:themeFillShade="D9"/>
            <w:noWrap w:val="0"/>
          </w:tcPr>
          <w:p w:rsidR="00973DEE" w:rsidRPr="00041607" w:rsidP="00DA66C8">
            <w:pPr>
              <w:pStyle w:val="Heading3"/>
              <w:spacing w:before="0" w:after="0"/>
              <w:rPr>
                <w:szCs w:val="24"/>
                <w:lang w:val="en-AU"/>
              </w:rPr>
            </w:pPr>
            <w:r w:rsidRPr="00041607">
              <w:rPr>
                <w:sz w:val="20"/>
                <w:szCs w:val="24"/>
                <w:lang w:val="en-AU"/>
              </w:rPr>
              <w:t>12-month target 3.4</w:t>
            </w:r>
            <w:r w:rsidRPr="00041607" w:rsidR="00FB15E2">
              <w:rPr>
                <w:szCs w:val="24"/>
                <w:lang w:val="en-AU"/>
              </w:rPr>
              <w:t>-m</w:t>
            </w:r>
            <w:r w:rsidRPr="00041607">
              <w:rPr>
                <w:szCs w:val="24"/>
                <w:lang w:val="en-AU"/>
              </w:rPr>
              <w:t xml:space="preserve">onth </w:t>
            </w:r>
            <w:r w:rsidRPr="00041607" w:rsidR="00FB15E2">
              <w:rPr>
                <w:szCs w:val="24"/>
                <w:lang w:val="en-AU"/>
              </w:rPr>
              <w:t>t</w:t>
            </w:r>
            <w:r w:rsidRPr="00041607">
              <w:rPr>
                <w:szCs w:val="24"/>
                <w:lang w:val="en-AU"/>
              </w:rPr>
              <w:t>arget</w:t>
            </w:r>
          </w:p>
        </w:tc>
        <w:tc>
          <w:tcPr>
            <w:tcW w:w="11438" w:type="dxa"/>
            <w:gridSpan w:val="2"/>
            <w:shd w:val="clear" w:color="auto" w:fill="D9D9D9" w:themeFill="background1" w:themeFillShade="D9"/>
            <w:noWrap w:val="0"/>
          </w:tcPr>
          <w:p w:rsidR="00973DEE" w:rsidRPr="00041607" w:rsidP="00BB23C7">
            <w:pPr>
              <w:pStyle w:val="ESBodyText"/>
              <w:spacing w:after="0"/>
              <w:rPr>
                <w:b/>
                <w:lang w:val="en-AU"/>
              </w:rPr>
            </w:pPr>
            <w:r>
              <w:rPr>
                <w:sz w:val="20"/>
              </w:rPr>
              <w:t>To improve the percentage of positive agreement by 5% across all 4 variables</w:t>
            </w:r>
          </w:p>
        </w:tc>
      </w:tr>
      <w:tr w:rsidTr="00A800BE">
        <w:tblPrEx>
          <w:tblW w:w="15210" w:type="dxa"/>
          <w:tblInd w:w="-545" w:type="dxa"/>
          <w:tblCellMar>
            <w:top w:w="115" w:type="dxa"/>
            <w:left w:w="115" w:type="dxa"/>
            <w:bottom w:w="115" w:type="dxa"/>
            <w:right w:w="115" w:type="dxa"/>
          </w:tblCellMar>
          <w:tblLook w:val="04A0"/>
        </w:tblPrEx>
        <w:trPr>
          <w:trHeight w:val="15"/>
        </w:trPr>
        <w:tc>
          <w:tcPr>
            <w:tcW w:w="12022" w:type="dxa"/>
            <w:gridSpan w:val="2"/>
            <w:shd w:val="clear" w:color="auto" w:fill="D9D9D9" w:themeFill="background1" w:themeFillShade="D9"/>
          </w:tcPr>
          <w:p w:rsidR="00DB56D4" w:rsidRPr="00041607" w:rsidP="00BB23C7">
            <w:pPr>
              <w:pStyle w:val="ESBodyText"/>
              <w:spacing w:after="0"/>
              <w:rPr>
                <w:b/>
                <w:sz w:val="20"/>
                <w:szCs w:val="20"/>
                <w:lang w:val="en-AU"/>
              </w:rPr>
            </w:pPr>
            <w:r w:rsidRPr="00041607">
              <w:rPr>
                <w:b/>
                <w:sz w:val="20"/>
                <w:szCs w:val="20"/>
                <w:lang w:val="en-AU"/>
              </w:rPr>
              <w:t>Key Improvement Strategies</w:t>
            </w:r>
          </w:p>
        </w:tc>
        <w:tc>
          <w:tcPr>
            <w:tcW w:w="3188" w:type="dxa"/>
            <w:shd w:val="clear" w:color="auto" w:fill="D9D9D9" w:themeFill="background1" w:themeFillShade="D9"/>
          </w:tcPr>
          <w:p w:rsidR="00DB56D4" w:rsidRPr="00041607" w:rsidP="00BB23C7">
            <w:pPr>
              <w:pStyle w:val="ESBodyText"/>
              <w:spacing w:after="0"/>
              <w:rPr>
                <w:b/>
                <w:lang w:val="en-AU"/>
              </w:rPr>
            </w:pPr>
            <w:r w:rsidRPr="00041607">
              <w:rPr>
                <w:color w:val="000000"/>
                <w:lang w:val="en-AU"/>
              </w:rPr>
              <w:t>Is this KIS selected for focus this year?</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57B5E7"/>
            <w:noWrap w:val="0"/>
          </w:tcPr>
          <w:p w:rsidR="00DB56D4" w:rsidRPr="00041607" w:rsidP="00BB23C7">
            <w:pPr>
              <w:pStyle w:val="ESBodyText"/>
              <w:spacing w:after="0"/>
              <w:rPr>
                <w:b/>
                <w:lang w:val="en-AU"/>
              </w:rPr>
            </w:pPr>
            <w:r w:rsidRPr="00041607">
              <w:rPr>
                <w:b/>
                <w:sz w:val="20"/>
                <w:szCs w:val="20"/>
                <w:lang w:val="en-AU"/>
              </w:rPr>
              <w:t>KIS 3.a</w:t>
            </w:r>
          </w:p>
          <w:p>
            <w:r>
              <w:rPr>
                <w:sz w:val="20"/>
              </w:rPr>
              <w:t>Professional leadership</w:t>
            </w:r>
          </w:p>
        </w:tc>
        <w:tc>
          <w:tcPr>
            <w:tcW w:w="8250" w:type="dxa"/>
            <w:shd w:val="clear" w:color="auto" w:fill="57B5E7"/>
            <w:noWrap w:val="0"/>
          </w:tcPr>
          <w:p w:rsidR="00DB56D4" w:rsidRPr="00041607" w:rsidP="00BB23C7">
            <w:pPr>
              <w:pStyle w:val="ESBodyText"/>
              <w:spacing w:after="0"/>
              <w:rPr>
                <w:b/>
                <w:lang w:val="en-AU"/>
              </w:rPr>
            </w:pPr>
            <w:r>
              <w:rPr>
                <w:sz w:val="20"/>
              </w:rPr>
              <w:t>To develop a school vision and implement values that informs the college culture and supports student engagement.</w:t>
            </w:r>
          </w:p>
        </w:tc>
        <w:tc>
          <w:tcPr>
            <w:tcW w:w="3188" w:type="dxa"/>
            <w:noWrap w:val="0"/>
          </w:tcPr>
          <w:p w:rsidR="00DB56D4" w:rsidRPr="00041607" w:rsidP="00BB23C7">
            <w:pPr>
              <w:pStyle w:val="ESBodyText"/>
              <w:spacing w:after="0"/>
              <w:rPr>
                <w:b/>
                <w:lang w:val="en-AU"/>
              </w:rPr>
            </w:pPr>
            <w:r>
              <w:rPr>
                <w:sz w:val="20"/>
              </w:rPr>
              <w:t>Yes</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FD062"/>
            <w:noWrap w:val="0"/>
          </w:tcPr>
          <w:p w:rsidR="00DB56D4" w:rsidRPr="00041607" w:rsidP="00BB23C7">
            <w:pPr>
              <w:pStyle w:val="ESBodyText"/>
              <w:spacing w:after="0"/>
              <w:rPr>
                <w:b/>
                <w:lang w:val="en-AU"/>
              </w:rPr>
            </w:pPr>
            <w:r w:rsidRPr="00041607">
              <w:rPr>
                <w:b/>
                <w:sz w:val="20"/>
                <w:szCs w:val="20"/>
                <w:lang w:val="en-AU"/>
              </w:rPr>
              <w:t>KIS 3.b</w:t>
            </w:r>
          </w:p>
          <w:p>
            <w:r>
              <w:rPr>
                <w:sz w:val="20"/>
              </w:rPr>
              <w:t>Positive climate for learning</w:t>
            </w:r>
          </w:p>
        </w:tc>
        <w:tc>
          <w:tcPr>
            <w:tcW w:w="8250" w:type="dxa"/>
            <w:shd w:val="clear" w:color="auto" w:fill="FFD062"/>
            <w:noWrap w:val="0"/>
          </w:tcPr>
          <w:p w:rsidR="00DB56D4" w:rsidRPr="00041607" w:rsidP="00BB23C7">
            <w:pPr>
              <w:pStyle w:val="ESBodyText"/>
              <w:spacing w:after="0"/>
              <w:rPr>
                <w:b/>
                <w:lang w:val="en-AU"/>
              </w:rPr>
            </w:pPr>
            <w:r>
              <w:rPr>
                <w:sz w:val="20"/>
              </w:rPr>
              <w:t xml:space="preserve">To develop and implement a consistent approach to school–wide positive behaviours. </w:t>
            </w:r>
          </w:p>
        </w:tc>
        <w:tc>
          <w:tcPr>
            <w:tcW w:w="3188" w:type="dxa"/>
            <w:noWrap w:val="0"/>
          </w:tcPr>
          <w:p w:rsidR="00DB56D4" w:rsidRPr="00041607" w:rsidP="00BB23C7">
            <w:pPr>
              <w:pStyle w:val="ESBodyText"/>
              <w:spacing w:after="0"/>
              <w:rPr>
                <w:b/>
                <w:lang w:val="en-AU"/>
              </w:rPr>
            </w:pPr>
            <w:r>
              <w:rPr>
                <w:sz w:val="20"/>
              </w:rPr>
              <w:t>No</w:t>
            </w:r>
          </w:p>
        </w:tc>
      </w:tr>
      <w:tr w:rsidTr="00CE0F0F">
        <w:tblPrEx>
          <w:tblW w:w="15210" w:type="dxa"/>
          <w:tblInd w:w="-545" w:type="dxa"/>
          <w:tblCellMar>
            <w:top w:w="115" w:type="dxa"/>
            <w:left w:w="115" w:type="dxa"/>
            <w:bottom w:w="115" w:type="dxa"/>
            <w:right w:w="115" w:type="dxa"/>
          </w:tblCellMar>
          <w:tblLook w:val="04A0"/>
        </w:tblPrEx>
        <w:trPr>
          <w:trHeight w:val="176"/>
        </w:trPr>
        <w:tc>
          <w:tcPr>
            <w:tcW w:w="3772" w:type="dxa"/>
            <w:shd w:val="clear" w:color="auto" w:fill="F8CDDB"/>
            <w:noWrap w:val="0"/>
          </w:tcPr>
          <w:p w:rsidR="00DB56D4" w:rsidRPr="00041607" w:rsidP="00BB23C7">
            <w:pPr>
              <w:pStyle w:val="ESBodyText"/>
              <w:spacing w:after="0"/>
              <w:rPr>
                <w:b/>
                <w:lang w:val="en-AU"/>
              </w:rPr>
            </w:pPr>
            <w:r w:rsidRPr="00041607">
              <w:rPr>
                <w:b/>
                <w:sz w:val="20"/>
                <w:szCs w:val="20"/>
                <w:lang w:val="en-AU"/>
              </w:rPr>
              <w:t>KIS 3.c</w:t>
            </w:r>
          </w:p>
          <w:p>
            <w:r>
              <w:rPr>
                <w:sz w:val="20"/>
              </w:rPr>
              <w:t>Community engagement in learning</w:t>
            </w:r>
          </w:p>
        </w:tc>
        <w:tc>
          <w:tcPr>
            <w:tcW w:w="8250" w:type="dxa"/>
            <w:shd w:val="clear" w:color="auto" w:fill="F8CDDB"/>
            <w:noWrap w:val="0"/>
          </w:tcPr>
          <w:p w:rsidR="00DB56D4" w:rsidRPr="00041607" w:rsidP="00BB23C7">
            <w:pPr>
              <w:pStyle w:val="ESBodyText"/>
              <w:spacing w:after="0"/>
              <w:rPr>
                <w:b/>
                <w:lang w:val="en-AU"/>
              </w:rPr>
            </w:pPr>
            <w:r>
              <w:rPr>
                <w:sz w:val="20"/>
              </w:rPr>
              <w:t>To raise aspirations and improve outcomes through building relationships that connect the community with the college.</w:t>
            </w:r>
          </w:p>
        </w:tc>
        <w:tc>
          <w:tcPr>
            <w:tcW w:w="3188" w:type="dxa"/>
            <w:noWrap w:val="0"/>
          </w:tcPr>
          <w:p w:rsidR="00DB56D4" w:rsidRPr="00041607" w:rsidP="00BB23C7">
            <w:pPr>
              <w:pStyle w:val="ESBodyText"/>
              <w:spacing w:after="0"/>
              <w:rPr>
                <w:b/>
                <w:lang w:val="en-AU"/>
              </w:rPr>
            </w:pPr>
            <w:r>
              <w:rPr>
                <w:sz w:val="20"/>
              </w:rPr>
              <w:t>Yes</w:t>
            </w:r>
          </w:p>
        </w:tc>
      </w:tr>
      <w:tr w:rsidTr="0001315D">
        <w:tblPrEx>
          <w:tblW w:w="15210" w:type="dxa"/>
          <w:tblInd w:w="-545" w:type="dxa"/>
          <w:tblCellMar>
            <w:top w:w="115" w:type="dxa"/>
            <w:left w:w="115" w:type="dxa"/>
            <w:bottom w:w="115" w:type="dxa"/>
            <w:right w:w="115" w:type="dxa"/>
          </w:tblCellMar>
          <w:tblLook w:val="04A0"/>
        </w:tblPrEx>
        <w:trPr>
          <w:trHeight w:val="1741"/>
        </w:trPr>
        <w:tc>
          <w:tcPr>
            <w:tcW w:w="3772" w:type="dxa"/>
            <w:shd w:val="clear" w:color="auto" w:fill="D9D9D9" w:themeFill="background1" w:themeFillShade="D9"/>
          </w:tcPr>
          <w:p w:rsidR="00BD3D7C" w:rsidRPr="00041607" w:rsidP="00BB23C7">
            <w:pPr>
              <w:pStyle w:val="ESBodyText"/>
              <w:spacing w:after="0"/>
              <w:rPr>
                <w:b/>
                <w:lang w:val="en-AU"/>
              </w:rPr>
            </w:pPr>
            <w:r w:rsidRPr="00041607">
              <w:rPr>
                <w:color w:val="000000"/>
                <w:lang w:val="en-AU"/>
              </w:rPr>
              <w:t xml:space="preserve">Explain why the school has selected this KIS as a focus for this year. Please </w:t>
            </w:r>
            <w:r w:rsidRPr="00041607">
              <w:rPr>
                <w:color w:val="000000"/>
                <w:lang w:val="en-AU"/>
              </w:rPr>
              <w:t>make reference</w:t>
            </w:r>
            <w:r w:rsidRPr="00041607">
              <w:rPr>
                <w:color w:val="000000"/>
                <w:lang w:val="en-AU"/>
              </w:rPr>
              <w:t xml:space="preserve"> to the self-evaluation, relevant school data, the progress against School Strategic Plan (SSP) goals, targets, and the diagnosis of issues requiring particular attention.</w:t>
            </w:r>
          </w:p>
        </w:tc>
        <w:tc>
          <w:tcPr>
            <w:tcW w:w="11438" w:type="dxa"/>
            <w:gridSpan w:val="2"/>
            <w:noWrap w:val="0"/>
          </w:tcPr>
          <w:p w:rsidR="00BD3D7C" w:rsidRPr="00041607" w:rsidP="00BB23C7">
            <w:pPr>
              <w:pStyle w:val="ESBodyText"/>
              <w:spacing w:after="0"/>
              <w:rPr>
                <w:b/>
                <w:lang w:val="en-AU"/>
              </w:rPr>
            </w:pPr>
            <w:r>
              <w:rPr>
                <w:sz w:val="20"/>
              </w:rPr>
              <w:t xml:space="preserve">This KIS was commenced in 2022. In 2023 we saw marked improvement in the School Staff Survey data targets, we did not see improvement in the Student Attitude to School Survey data targets. We have had a small reduction in student absences. Therefore we believe there are more actions to be undertaken for this KIS before we are ready to move on. </w:t>
            </w:r>
          </w:p>
        </w:tc>
      </w:tr>
    </w:tbl>
    <w:p w:rsidR="000A423E" w:rsidRPr="00041607" w:rsidP="004E7357">
      <w:pPr>
        <w:pStyle w:val="ESBodyText"/>
        <w:rPr>
          <w:lang w:val="en-AU"/>
        </w:rPr>
      </w:pPr>
    </w:p>
    <w:p/>
    <w:p/>
    <w:sectPr w:rsidSect="00CD3E4E">
      <w:headerReference w:type="even" r:id="rId15"/>
      <w:headerReference w:type="default" r:id="rId16"/>
      <w:footerReference w:type="default" r:id="rId17"/>
      <w:headerReference w:type="first" r:id="rId18"/>
      <w:pgSz w:w="16838" w:h="11906" w:orient="landscape" w:code="9"/>
      <w:pgMar w:top="1304" w:right="2036" w:bottom="1240" w:left="1304" w:header="624" w:footer="532" w:gutter="0"/>
      <w:pgNumType w:start="2"/>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12C54" w:rsidP="007B2B2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3E29B5" w:rsidP="008766A4">
    <w:r>
      <w:rPr>
        <w:noProof/>
      </w:rPr>
      <w:drawing>
        <wp:anchor distT="0" distB="0" distL="114300" distR="114300" simplePos="0" relativeHeight="251667456" behindDoc="1" locked="0" layoutInCell="1" allowOverlap="1">
          <wp:simplePos x="0" y="0"/>
          <wp:positionH relativeFrom="column">
            <wp:posOffset>-140335</wp:posOffset>
          </wp:positionH>
          <wp:positionV relativeFrom="paragraph">
            <wp:posOffset>86360</wp:posOffset>
          </wp:positionV>
          <wp:extent cx="1980000" cy="590400"/>
          <wp:effectExtent l="0" t="0" r="1270" b="635"/>
          <wp:wrapNone/>
          <wp:docPr id="14" name="Picture 14"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3E29B5" w:rsidR="00B329B8">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006534" w:rsidP="00943620">
    <w:pPr>
      <w:pStyle w:val="ESSubheading1"/>
      <w:ind w:firstLine="567"/>
    </w:pPr>
    <w:r w:rsidRPr="00943620">
      <w:rPr>
        <w:noProof/>
        <w:sz w:val="15"/>
        <w:szCs w:val="15"/>
      </w:rPr>
      <w:t>Colac Secondary College (8864) - 2024 - AIP - Annual Goals Targets and KIS</w:t>
    </w:r>
    <w:r w:rsidRPr="000C104E" w:rsidR="000C104E">
      <w:rPr>
        <w:noProof/>
        <w:lang w:val="en-AU" w:eastAsia="en-AU"/>
      </w:rPr>
      <w:drawing>
        <wp:anchor distT="0" distB="0" distL="114300" distR="114300" simplePos="0" relativeHeight="251666432" behindDoc="1" locked="0" layoutInCell="1" allowOverlap="1">
          <wp:simplePos x="0" y="0"/>
          <wp:positionH relativeFrom="column">
            <wp:posOffset>11844304</wp:posOffset>
          </wp:positionH>
          <wp:positionV relativeFrom="paragraph">
            <wp:posOffset>-47625</wp:posOffset>
          </wp:positionV>
          <wp:extent cx="1981200" cy="7048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r w:rsidRPr="00006534" w:rsidR="00943620">
      <w:t xml:space="preserve"> </w:t>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rsidR="00312C54" w:rsidRPr="007B2B29"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sidRPr="00006534">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sidR="00C15853">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height:180pt;margin-left:0;margin-top:0;mso-position-horizontal:center;mso-position-horizontal-relative:page;mso-position-vertical:center;mso-position-vertical-relative:page;position:absolute;rotation:-40;width:500pt;z-index:251659264" fillcolor="#d3d3d3" strokecolor="#d3d3d3">
          <v:textpath style="font-family:&quot;Arial&quo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pPr>
      <w:pStyle w:val="Header"/>
    </w:pPr>
    <w:r w:rsidRPr="000C104E">
      <w:rPr>
        <w:noProof/>
        <w:lang w:val="en-AU" w:eastAsia="en-AU"/>
      </w:rPr>
      <w:drawing>
        <wp:anchor distT="0" distB="0" distL="114300" distR="114300" simplePos="0" relativeHeight="251664384" behindDoc="1" locked="0" layoutInCell="1" allowOverlap="1">
          <wp:simplePos x="0" y="0"/>
          <wp:positionH relativeFrom="column">
            <wp:posOffset>7838943</wp:posOffset>
          </wp:positionH>
          <wp:positionV relativeFrom="paragraph">
            <wp:posOffset>-378460</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height:180pt;margin-left:0;margin-top:0;mso-position-horizontal:center;mso-position-horizontal-relative:page;mso-position-vertical:center;mso-position-vertical-relative:page;position:absolute;rotation:-40;width:500pt;z-index:251658240" fillcolor="#d3d3d3" strokecolor="#d3d3d3">
          <v:textpath style="font-family:&quot;Arial&quo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ge">
                <wp:align>center</wp:align>
              </wp:positionV>
              <wp:extent cx="6350000" cy="2286000"/>
              <wp:effectExtent l="0" t="1428750" r="0" b="1276350"/>
              <wp:wrapNone/>
              <wp:docPr id="7" name="Text Box 7"/>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12C54" w:rsidRPr="003E29B5" w:rsidP="008766A4">
    <w:r w:rsidRPr="000C104E">
      <w:rPr>
        <w:noProof/>
        <w:lang w:val="en-AU" w:eastAsia="en-AU"/>
      </w:rPr>
      <w:drawing>
        <wp:anchor distT="0" distB="0" distL="114300" distR="114300" simplePos="0" relativeHeight="251665408" behindDoc="1" locked="0" layoutInCell="1" allowOverlap="1">
          <wp:simplePos x="0" y="0"/>
          <wp:positionH relativeFrom="column">
            <wp:posOffset>11844068</wp:posOffset>
          </wp:positionH>
          <wp:positionV relativeFrom="paragraph">
            <wp:posOffset>-272367</wp:posOffset>
          </wp:positionV>
          <wp:extent cx="1991003" cy="743054"/>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rsidR="00180DD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80DD4">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FCB6DE1"/>
    <w:multiLevelType w:val="hybridMultilevel"/>
    <w:tmpl w:val="7FCB6DE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7FCB6DE2"/>
    <w:multiLevelType w:val="hybridMultilevel"/>
    <w:tmpl w:val="7FCB6DE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4"/>
  </w:num>
  <w:num w:numId="15">
    <w:abstractNumId w:val="15"/>
  </w:num>
  <w:num w:numId="16">
    <w:abstractNumId w:val="12"/>
  </w:num>
  <w:num w:numId="17">
    <w:abstractNumId w:val="13"/>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nam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header" Target="header5.xml" /><Relationship Id="rId17" Type="http://schemas.openxmlformats.org/officeDocument/2006/relationships/footer" Target="footer3.xml" /><Relationship Id="rId18" Type="http://schemas.openxmlformats.org/officeDocument/2006/relationships/header" Target="header6.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footer2.xml.rels>&#65279;<?xml version="1.0" encoding="utf-8" standalone="yes"?><Relationships xmlns="http://schemas.openxmlformats.org/package/2006/relationships"><Relationship Id="rId1" Type="http://schemas.openxmlformats.org/officeDocument/2006/relationships/image" Target="media/image3.png" /></Relationships>
</file>

<file path=word/_rels/footer3.xml.rels>&#65279;<?xml version="1.0" encoding="utf-8" standalone="yes"?><Relationships xmlns="http://schemas.openxmlformats.org/package/2006/relationships"><Relationship Id="rId1" Type="http://schemas.openxmlformats.org/officeDocument/2006/relationships/image" Target="media/image4.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s>
</file>

<file path=word/_rels/header5.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1FA6D572-29E8-4C37-A0AD-949328FFC7B2}">
  <ds:schemaRefs>
    <ds:schemaRef ds:uri="http://schemas.openxmlformats.org/officeDocument/2006/bibliography"/>
  </ds:schemaRefs>
</ds:datastoreItem>
</file>

<file path=customXml/itemProps2.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8D826A-78A9-4A6C-8034-99F2E8A12FB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2125</TotalTime>
  <Pages>2</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98</cp:revision>
  <dcterms:created xsi:type="dcterms:W3CDTF">2017-09-11T05:00:00Z</dcterms:created>
  <dcterms:modified xsi:type="dcterms:W3CDTF">2024-01-31T05:52:00Z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